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A6" w:rsidRPr="004F6D11" w:rsidRDefault="00732859" w:rsidP="000254D9">
      <w:pPr>
        <w:spacing w:after="0" w:line="240" w:lineRule="auto"/>
        <w:jc w:val="center"/>
        <w:rPr>
          <w:b/>
          <w:highlight w:val="lightGray"/>
        </w:rPr>
      </w:pPr>
      <w:r w:rsidRPr="004F6D11">
        <w:rPr>
          <w:b/>
          <w:highlight w:val="lightGray"/>
        </w:rPr>
        <w:t>NOTE SYNTHETIQUE – INFORMATIONS FINANCIERES SDIS LOIRET</w:t>
      </w:r>
    </w:p>
    <w:p w:rsidR="00732859" w:rsidRPr="00732859" w:rsidRDefault="00323164" w:rsidP="000254D9">
      <w:pPr>
        <w:spacing w:after="0" w:line="240" w:lineRule="auto"/>
        <w:jc w:val="center"/>
        <w:rPr>
          <w:b/>
        </w:rPr>
      </w:pPr>
      <w:r>
        <w:rPr>
          <w:b/>
          <w:highlight w:val="lightGray"/>
        </w:rPr>
        <w:t>COMPTE ADMINIS</w:t>
      </w:r>
      <w:r w:rsidR="00732859" w:rsidRPr="004F6D11">
        <w:rPr>
          <w:b/>
          <w:highlight w:val="lightGray"/>
        </w:rPr>
        <w:t xml:space="preserve">TRATIF </w:t>
      </w:r>
      <w:r w:rsidR="00732859" w:rsidRPr="00ED0367">
        <w:rPr>
          <w:b/>
          <w:highlight w:val="lightGray"/>
        </w:rPr>
        <w:t>20</w:t>
      </w:r>
      <w:r w:rsidR="00471152" w:rsidRPr="00F80D8B">
        <w:rPr>
          <w:b/>
          <w:highlight w:val="lightGray"/>
        </w:rPr>
        <w:t>2</w:t>
      </w:r>
      <w:r w:rsidR="00D03A45" w:rsidRPr="00D03A45">
        <w:rPr>
          <w:b/>
          <w:highlight w:val="lightGray"/>
        </w:rPr>
        <w:t>2</w:t>
      </w:r>
    </w:p>
    <w:p w:rsidR="00732859" w:rsidRDefault="00732859" w:rsidP="000254D9">
      <w:pPr>
        <w:spacing w:after="0" w:line="240" w:lineRule="auto"/>
      </w:pPr>
    </w:p>
    <w:p w:rsidR="00732859" w:rsidRDefault="00732859" w:rsidP="000254D9">
      <w:pPr>
        <w:spacing w:after="0" w:line="240" w:lineRule="auto"/>
      </w:pPr>
      <w:r>
        <w:t>Comme le prévoit la loi Notre du 7 août 2015, « </w:t>
      </w:r>
      <w:r w:rsidRPr="00732859">
        <w:rPr>
          <w:i/>
        </w:rPr>
        <w:t>une présentation brève et synthétique retraçant les informations essentielles est jointe au budget primitif et au compte administratif afin de permettre aux citoyens d’en saisir les enjeux </w:t>
      </w:r>
      <w:r w:rsidR="002315A4">
        <w:t>». C’est donc l’objet du présent</w:t>
      </w:r>
      <w:r>
        <w:t xml:space="preserve"> </w:t>
      </w:r>
      <w:r w:rsidR="002315A4">
        <w:t>document</w:t>
      </w:r>
      <w:r>
        <w:t xml:space="preserve"> accompagnant le vo</w:t>
      </w:r>
      <w:r w:rsidR="002315A4">
        <w:t>te du compte administratif 20</w:t>
      </w:r>
      <w:r w:rsidR="00471152">
        <w:t>2</w:t>
      </w:r>
      <w:r w:rsidR="00D03A45">
        <w:t>2</w:t>
      </w:r>
      <w:r w:rsidR="002315A4">
        <w:t xml:space="preserve"> </w:t>
      </w:r>
      <w:r>
        <w:t xml:space="preserve">réalisé par les élus du CASDIS le </w:t>
      </w:r>
      <w:r w:rsidR="00D03A45">
        <w:t>14 avril 2023</w:t>
      </w:r>
      <w:r>
        <w:t>.</w:t>
      </w:r>
    </w:p>
    <w:p w:rsidR="000254D9" w:rsidRDefault="000254D9" w:rsidP="000254D9">
      <w:pPr>
        <w:spacing w:after="0" w:line="240" w:lineRule="auto"/>
      </w:pPr>
    </w:p>
    <w:p w:rsidR="00732859" w:rsidRDefault="00940EB4" w:rsidP="000254D9">
      <w:pPr>
        <w:spacing w:after="0" w:line="240" w:lineRule="auto"/>
        <w:rPr>
          <w:b/>
        </w:rPr>
      </w:pPr>
      <w:r w:rsidRPr="00110310">
        <w:rPr>
          <w:b/>
        </w:rPr>
        <w:t>1°/ Le contexte</w:t>
      </w:r>
    </w:p>
    <w:p w:rsidR="002315A4" w:rsidRPr="00110310" w:rsidRDefault="002315A4" w:rsidP="000254D9">
      <w:pPr>
        <w:spacing w:after="0" w:line="240" w:lineRule="auto"/>
        <w:rPr>
          <w:b/>
        </w:rPr>
      </w:pPr>
    </w:p>
    <w:p w:rsidR="00940EB4" w:rsidRDefault="00C12E16" w:rsidP="000254D9">
      <w:pPr>
        <w:spacing w:after="0" w:line="240" w:lineRule="auto"/>
        <w:rPr>
          <w:u w:val="single"/>
        </w:rPr>
      </w:pPr>
      <w:r w:rsidRPr="00110310">
        <w:rPr>
          <w:u w:val="single"/>
        </w:rPr>
        <w:t xml:space="preserve">Population du </w:t>
      </w:r>
      <w:r w:rsidRPr="00EA19E9">
        <w:rPr>
          <w:u w:val="single"/>
        </w:rPr>
        <w:t>Loiret</w:t>
      </w:r>
      <w:r w:rsidRPr="00EA19E9">
        <w:t xml:space="preserve"> </w:t>
      </w:r>
      <w:r w:rsidRPr="00EA19E9">
        <w:rPr>
          <w:i/>
          <w:sz w:val="18"/>
          <w:szCs w:val="18"/>
        </w:rPr>
        <w:t>(source INSEE au 1</w:t>
      </w:r>
      <w:r w:rsidRPr="00EA19E9">
        <w:rPr>
          <w:i/>
          <w:sz w:val="18"/>
          <w:szCs w:val="18"/>
          <w:vertAlign w:val="superscript"/>
        </w:rPr>
        <w:t>er</w:t>
      </w:r>
      <w:r w:rsidRPr="00EA19E9">
        <w:rPr>
          <w:i/>
          <w:sz w:val="18"/>
          <w:szCs w:val="18"/>
        </w:rPr>
        <w:t xml:space="preserve"> janvier N)</w:t>
      </w:r>
    </w:p>
    <w:p w:rsidR="000254D9" w:rsidRPr="00110310" w:rsidRDefault="000254D9" w:rsidP="000254D9">
      <w:pPr>
        <w:spacing w:after="0" w:line="240" w:lineRule="auto"/>
        <w:rPr>
          <w:u w:val="single"/>
        </w:rPr>
      </w:pPr>
    </w:p>
    <w:tbl>
      <w:tblPr>
        <w:tblStyle w:val="Grilledutableau"/>
        <w:tblW w:w="9700" w:type="dxa"/>
        <w:jc w:val="center"/>
        <w:tblLook w:val="04A0" w:firstRow="1" w:lastRow="0" w:firstColumn="1" w:lastColumn="0" w:noHBand="0" w:noVBand="1"/>
      </w:tblPr>
      <w:tblGrid>
        <w:gridCol w:w="3227"/>
        <w:gridCol w:w="3402"/>
        <w:gridCol w:w="3071"/>
      </w:tblGrid>
      <w:tr w:rsidR="006C2E49" w:rsidTr="00D66A57">
        <w:trPr>
          <w:jc w:val="center"/>
        </w:trPr>
        <w:tc>
          <w:tcPr>
            <w:tcW w:w="3227" w:type="dxa"/>
          </w:tcPr>
          <w:p w:rsidR="006C2E49" w:rsidRPr="00721CC5" w:rsidRDefault="006C2E49" w:rsidP="00D03A45">
            <w:pPr>
              <w:jc w:val="center"/>
            </w:pPr>
            <w:r w:rsidRPr="00721CC5">
              <w:t>Au 1er janvier 202</w:t>
            </w:r>
            <w:r w:rsidR="00D03A45">
              <w:t>1</w:t>
            </w:r>
          </w:p>
        </w:tc>
        <w:tc>
          <w:tcPr>
            <w:tcW w:w="3402" w:type="dxa"/>
          </w:tcPr>
          <w:p w:rsidR="006C2E49" w:rsidRPr="00721CC5" w:rsidRDefault="006C2E49" w:rsidP="00D03A45">
            <w:pPr>
              <w:jc w:val="center"/>
            </w:pPr>
            <w:r w:rsidRPr="00721CC5">
              <w:t>Au 1er janvier 202</w:t>
            </w:r>
            <w:r w:rsidR="00D03A45">
              <w:t>2</w:t>
            </w:r>
          </w:p>
        </w:tc>
        <w:tc>
          <w:tcPr>
            <w:tcW w:w="3071" w:type="dxa"/>
          </w:tcPr>
          <w:p w:rsidR="006C2E49" w:rsidRPr="00721CC5" w:rsidRDefault="006C2E49" w:rsidP="000B0BAB">
            <w:pPr>
              <w:jc w:val="center"/>
            </w:pPr>
            <w:r w:rsidRPr="00721CC5">
              <w:t>Variation</w:t>
            </w:r>
          </w:p>
        </w:tc>
      </w:tr>
      <w:tr w:rsidR="006C2E49" w:rsidTr="00D66A57">
        <w:trPr>
          <w:jc w:val="center"/>
        </w:trPr>
        <w:tc>
          <w:tcPr>
            <w:tcW w:w="3227" w:type="dxa"/>
          </w:tcPr>
          <w:p w:rsidR="006C2E49" w:rsidRPr="00721CC5" w:rsidRDefault="00D03A45" w:rsidP="000B0BAB">
            <w:pPr>
              <w:jc w:val="center"/>
            </w:pPr>
            <w:r>
              <w:t>693 476</w:t>
            </w:r>
          </w:p>
        </w:tc>
        <w:tc>
          <w:tcPr>
            <w:tcW w:w="3402" w:type="dxa"/>
          </w:tcPr>
          <w:p w:rsidR="006C2E49" w:rsidRPr="00721CC5" w:rsidRDefault="00D03A45" w:rsidP="000B0BAB">
            <w:pPr>
              <w:jc w:val="center"/>
            </w:pPr>
            <w:r>
              <w:t>695 084</w:t>
            </w:r>
          </w:p>
        </w:tc>
        <w:tc>
          <w:tcPr>
            <w:tcW w:w="3071" w:type="dxa"/>
          </w:tcPr>
          <w:p w:rsidR="006C2E49" w:rsidRDefault="006C2E49" w:rsidP="00D03A45">
            <w:pPr>
              <w:jc w:val="center"/>
            </w:pPr>
            <w:r w:rsidRPr="00721CC5">
              <w:t xml:space="preserve">+ </w:t>
            </w:r>
            <w:r w:rsidR="00D03A45">
              <w:t>1 608</w:t>
            </w:r>
            <w:r w:rsidRPr="00721CC5">
              <w:t xml:space="preserve">          +0.</w:t>
            </w:r>
            <w:r w:rsidR="00D03A45">
              <w:t>23</w:t>
            </w:r>
            <w:r w:rsidRPr="00721CC5">
              <w:t>%</w:t>
            </w:r>
          </w:p>
        </w:tc>
      </w:tr>
    </w:tbl>
    <w:p w:rsidR="00C12E16" w:rsidRDefault="00C12E16" w:rsidP="000254D9">
      <w:pPr>
        <w:spacing w:after="0" w:line="240" w:lineRule="auto"/>
      </w:pPr>
    </w:p>
    <w:p w:rsidR="00FA369E" w:rsidRDefault="00C12E16" w:rsidP="00FA369E">
      <w:pPr>
        <w:spacing w:after="0" w:line="240" w:lineRule="auto"/>
      </w:pPr>
      <w:r w:rsidRPr="00110310">
        <w:rPr>
          <w:u w:val="single"/>
        </w:rPr>
        <w:t xml:space="preserve">Activité </w:t>
      </w:r>
      <w:r w:rsidRPr="00EA19E9">
        <w:rPr>
          <w:u w:val="single"/>
        </w:rPr>
        <w:t>opérationnelle</w:t>
      </w:r>
      <w:r w:rsidR="002C2276" w:rsidRPr="00EA19E9">
        <w:t xml:space="preserve"> </w:t>
      </w:r>
      <w:r w:rsidR="002C2276" w:rsidRPr="00EA19E9">
        <w:rPr>
          <w:i/>
          <w:sz w:val="18"/>
          <w:szCs w:val="18"/>
        </w:rPr>
        <w:t xml:space="preserve">(source </w:t>
      </w:r>
      <w:r w:rsidR="000B0BAB">
        <w:rPr>
          <w:i/>
          <w:sz w:val="18"/>
          <w:szCs w:val="18"/>
        </w:rPr>
        <w:t>Oxio</w:t>
      </w:r>
      <w:r w:rsidR="002C2276" w:rsidRPr="00EA19E9">
        <w:rPr>
          <w:i/>
          <w:sz w:val="18"/>
          <w:szCs w:val="18"/>
        </w:rPr>
        <w:t xml:space="preserve"> – Bilan opérationnel décembre 20</w:t>
      </w:r>
      <w:r w:rsidR="00F80D8B">
        <w:rPr>
          <w:i/>
          <w:sz w:val="18"/>
          <w:szCs w:val="18"/>
        </w:rPr>
        <w:t>2</w:t>
      </w:r>
      <w:r w:rsidR="00D03A45">
        <w:rPr>
          <w:i/>
          <w:sz w:val="18"/>
          <w:szCs w:val="18"/>
        </w:rPr>
        <w:t>2</w:t>
      </w:r>
      <w:r w:rsidR="002C2276" w:rsidRPr="00EA19E9">
        <w:rPr>
          <w:i/>
          <w:sz w:val="18"/>
          <w:szCs w:val="18"/>
        </w:rPr>
        <w:t>)</w:t>
      </w:r>
      <w:r w:rsidR="00FA369E" w:rsidRPr="00FA369E">
        <w:t xml:space="preserve">  </w:t>
      </w:r>
    </w:p>
    <w:p w:rsidR="000B0BAB" w:rsidRPr="00FA369E" w:rsidRDefault="000B0BAB" w:rsidP="00FA369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569" w:type="dxa"/>
        <w:jc w:val="center"/>
        <w:tblLook w:val="04A0" w:firstRow="1" w:lastRow="0" w:firstColumn="1" w:lastColumn="0" w:noHBand="0" w:noVBand="1"/>
      </w:tblPr>
      <w:tblGrid>
        <w:gridCol w:w="3369"/>
        <w:gridCol w:w="2410"/>
        <w:gridCol w:w="2126"/>
        <w:gridCol w:w="1664"/>
      </w:tblGrid>
      <w:tr w:rsidR="000B0BAB" w:rsidRPr="00D66A57" w:rsidTr="00740DD6">
        <w:trPr>
          <w:jc w:val="center"/>
        </w:trPr>
        <w:tc>
          <w:tcPr>
            <w:tcW w:w="3369" w:type="dxa"/>
          </w:tcPr>
          <w:p w:rsidR="000B0BAB" w:rsidRPr="00D66A57" w:rsidRDefault="000B0BAB" w:rsidP="00740DD6">
            <w:pPr>
              <w:jc w:val="center"/>
              <w:rPr>
                <w:b/>
              </w:rPr>
            </w:pPr>
            <w:r w:rsidRPr="00D66A57">
              <w:rPr>
                <w:b/>
              </w:rPr>
              <w:t>Intervention</w:t>
            </w:r>
          </w:p>
        </w:tc>
        <w:tc>
          <w:tcPr>
            <w:tcW w:w="2410" w:type="dxa"/>
          </w:tcPr>
          <w:p w:rsidR="000B0BAB" w:rsidRPr="00D66A57" w:rsidRDefault="000B0BAB" w:rsidP="00D03A45">
            <w:pPr>
              <w:jc w:val="center"/>
              <w:rPr>
                <w:b/>
              </w:rPr>
            </w:pPr>
            <w:r w:rsidRPr="00D66A57">
              <w:rPr>
                <w:b/>
              </w:rPr>
              <w:t>20</w:t>
            </w:r>
            <w:r>
              <w:rPr>
                <w:b/>
              </w:rPr>
              <w:t>2</w:t>
            </w:r>
            <w:r w:rsidR="00D03A45">
              <w:rPr>
                <w:b/>
              </w:rPr>
              <w:t>1</w:t>
            </w:r>
          </w:p>
        </w:tc>
        <w:tc>
          <w:tcPr>
            <w:tcW w:w="2126" w:type="dxa"/>
          </w:tcPr>
          <w:p w:rsidR="000B0BAB" w:rsidRPr="00D66A57" w:rsidRDefault="000B0BAB" w:rsidP="00D03A45">
            <w:pPr>
              <w:jc w:val="center"/>
              <w:rPr>
                <w:b/>
              </w:rPr>
            </w:pPr>
            <w:r w:rsidRPr="00D66A57">
              <w:rPr>
                <w:b/>
              </w:rPr>
              <w:t>20</w:t>
            </w:r>
            <w:r>
              <w:rPr>
                <w:b/>
              </w:rPr>
              <w:t>2</w:t>
            </w:r>
            <w:r w:rsidR="00D03A45">
              <w:rPr>
                <w:b/>
              </w:rPr>
              <w:t>2</w:t>
            </w:r>
          </w:p>
        </w:tc>
        <w:tc>
          <w:tcPr>
            <w:tcW w:w="1664" w:type="dxa"/>
          </w:tcPr>
          <w:p w:rsidR="000B0BAB" w:rsidRPr="00D66A57" w:rsidRDefault="000B0BAB" w:rsidP="00740DD6">
            <w:pPr>
              <w:jc w:val="center"/>
              <w:rPr>
                <w:b/>
              </w:rPr>
            </w:pPr>
            <w:r w:rsidRPr="00D66A57">
              <w:rPr>
                <w:b/>
              </w:rPr>
              <w:t>Variation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Incendie</w:t>
            </w:r>
          </w:p>
        </w:tc>
        <w:tc>
          <w:tcPr>
            <w:tcW w:w="2410" w:type="dxa"/>
          </w:tcPr>
          <w:p w:rsidR="00D03A45" w:rsidRPr="00DE4BC8" w:rsidRDefault="00D03A45" w:rsidP="00D03A45">
            <w:pPr>
              <w:jc w:val="center"/>
            </w:pPr>
            <w:r w:rsidRPr="00DE4BC8">
              <w:t>2 504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2 675</w:t>
            </w:r>
          </w:p>
        </w:tc>
        <w:tc>
          <w:tcPr>
            <w:tcW w:w="1664" w:type="dxa"/>
          </w:tcPr>
          <w:p w:rsidR="00D03A45" w:rsidRPr="002B27D6" w:rsidRDefault="00D03A45" w:rsidP="00D03A45">
            <w:pPr>
              <w:pStyle w:val="Paragraphedeliste"/>
              <w:ind w:left="0"/>
              <w:jc w:val="center"/>
            </w:pPr>
            <w:r>
              <w:t>+ 6.8%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Secours à personnes</w:t>
            </w:r>
          </w:p>
        </w:tc>
        <w:tc>
          <w:tcPr>
            <w:tcW w:w="2410" w:type="dxa"/>
          </w:tcPr>
          <w:p w:rsidR="00D03A45" w:rsidRPr="00DE4BC8" w:rsidRDefault="00D03A45" w:rsidP="00D03A45">
            <w:pPr>
              <w:jc w:val="center"/>
            </w:pPr>
            <w:r w:rsidRPr="00DE4BC8">
              <w:t>34 491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36 374</w:t>
            </w:r>
          </w:p>
        </w:tc>
        <w:tc>
          <w:tcPr>
            <w:tcW w:w="1664" w:type="dxa"/>
          </w:tcPr>
          <w:p w:rsidR="00D03A45" w:rsidRPr="002B27D6" w:rsidRDefault="00D03A45" w:rsidP="00D03A45">
            <w:pPr>
              <w:jc w:val="center"/>
            </w:pPr>
            <w:r>
              <w:t>+ 5.5%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Accidents de la circulation</w:t>
            </w:r>
          </w:p>
        </w:tc>
        <w:tc>
          <w:tcPr>
            <w:tcW w:w="2410" w:type="dxa"/>
          </w:tcPr>
          <w:p w:rsidR="00D03A45" w:rsidRPr="00DE4BC8" w:rsidRDefault="00D03A45" w:rsidP="00D03A45">
            <w:pPr>
              <w:jc w:val="center"/>
            </w:pPr>
            <w:r w:rsidRPr="00DE4BC8">
              <w:t>2 726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2 841</w:t>
            </w:r>
          </w:p>
        </w:tc>
        <w:tc>
          <w:tcPr>
            <w:tcW w:w="1664" w:type="dxa"/>
          </w:tcPr>
          <w:p w:rsidR="00D03A45" w:rsidRPr="002B27D6" w:rsidRDefault="00D03A45" w:rsidP="00D03A45">
            <w:pPr>
              <w:jc w:val="center"/>
            </w:pPr>
            <w:r>
              <w:t>+ 4.2%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Risques technologiques</w:t>
            </w:r>
          </w:p>
        </w:tc>
        <w:tc>
          <w:tcPr>
            <w:tcW w:w="2410" w:type="dxa"/>
          </w:tcPr>
          <w:p w:rsidR="00D03A45" w:rsidRPr="00DE4BC8" w:rsidRDefault="00D03A45" w:rsidP="00D03A45">
            <w:pPr>
              <w:jc w:val="center"/>
            </w:pPr>
            <w:r w:rsidRPr="00DE4BC8">
              <w:t>269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292</w:t>
            </w:r>
          </w:p>
        </w:tc>
        <w:tc>
          <w:tcPr>
            <w:tcW w:w="1664" w:type="dxa"/>
          </w:tcPr>
          <w:p w:rsidR="00D03A45" w:rsidRPr="002B27D6" w:rsidRDefault="00D03A45" w:rsidP="00D03A45">
            <w:pPr>
              <w:jc w:val="center"/>
            </w:pPr>
            <w:r>
              <w:t>+ 8.6%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Opérations diverses</w:t>
            </w:r>
          </w:p>
        </w:tc>
        <w:tc>
          <w:tcPr>
            <w:tcW w:w="2410" w:type="dxa"/>
          </w:tcPr>
          <w:p w:rsidR="00D03A45" w:rsidRPr="00DE4BC8" w:rsidRDefault="00D03A45" w:rsidP="00D03A45">
            <w:pPr>
              <w:jc w:val="center"/>
            </w:pPr>
            <w:r w:rsidRPr="00DE4BC8">
              <w:t>2 314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2 731</w:t>
            </w:r>
          </w:p>
        </w:tc>
        <w:tc>
          <w:tcPr>
            <w:tcW w:w="1664" w:type="dxa"/>
          </w:tcPr>
          <w:p w:rsidR="00D03A45" w:rsidRPr="002B27D6" w:rsidRDefault="00D03A45" w:rsidP="00D03A45">
            <w:pPr>
              <w:jc w:val="center"/>
            </w:pPr>
            <w:r>
              <w:t>+ 18%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Recouvertures opérationnelles</w:t>
            </w:r>
          </w:p>
        </w:tc>
        <w:tc>
          <w:tcPr>
            <w:tcW w:w="2410" w:type="dxa"/>
          </w:tcPr>
          <w:p w:rsidR="00D03A45" w:rsidRPr="00DE4BC8" w:rsidRDefault="00D03A45" w:rsidP="00D03A45">
            <w:pPr>
              <w:jc w:val="center"/>
            </w:pPr>
            <w:r w:rsidRPr="00DE4BC8">
              <w:t>120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169</w:t>
            </w:r>
          </w:p>
        </w:tc>
        <w:tc>
          <w:tcPr>
            <w:tcW w:w="1664" w:type="dxa"/>
          </w:tcPr>
          <w:p w:rsidR="00D03A45" w:rsidRPr="002B27D6" w:rsidRDefault="00D03A45" w:rsidP="00D03A45">
            <w:pPr>
              <w:jc w:val="center"/>
            </w:pPr>
            <w:r>
              <w:t>+ 40.8%</w:t>
            </w:r>
          </w:p>
        </w:tc>
      </w:tr>
      <w:tr w:rsidR="00D03A45" w:rsidTr="00740DD6">
        <w:trPr>
          <w:jc w:val="center"/>
        </w:trPr>
        <w:tc>
          <w:tcPr>
            <w:tcW w:w="3369" w:type="dxa"/>
          </w:tcPr>
          <w:p w:rsidR="00D03A45" w:rsidRDefault="00D03A45" w:rsidP="00D03A45">
            <w:pPr>
              <w:jc w:val="center"/>
            </w:pPr>
            <w:r>
              <w:t>TOTAL</w:t>
            </w:r>
          </w:p>
        </w:tc>
        <w:tc>
          <w:tcPr>
            <w:tcW w:w="2410" w:type="dxa"/>
          </w:tcPr>
          <w:p w:rsidR="00D03A45" w:rsidRDefault="00D03A45" w:rsidP="00D03A45">
            <w:pPr>
              <w:jc w:val="center"/>
            </w:pPr>
            <w:r w:rsidRPr="00DE4BC8">
              <w:t>42 424</w:t>
            </w:r>
          </w:p>
        </w:tc>
        <w:tc>
          <w:tcPr>
            <w:tcW w:w="2126" w:type="dxa"/>
          </w:tcPr>
          <w:p w:rsidR="00D03A45" w:rsidRDefault="00D03A45" w:rsidP="00D03A45">
            <w:pPr>
              <w:jc w:val="center"/>
            </w:pPr>
            <w:r>
              <w:t>45 082</w:t>
            </w:r>
          </w:p>
        </w:tc>
        <w:tc>
          <w:tcPr>
            <w:tcW w:w="1664" w:type="dxa"/>
          </w:tcPr>
          <w:p w:rsidR="00D03A45" w:rsidRPr="00717B81" w:rsidRDefault="00D03A45" w:rsidP="00D03A45">
            <w:pPr>
              <w:jc w:val="center"/>
              <w:rPr>
                <w:highlight w:val="yellow"/>
              </w:rPr>
            </w:pPr>
            <w:r>
              <w:t>+ 6.3%</w:t>
            </w:r>
          </w:p>
        </w:tc>
      </w:tr>
    </w:tbl>
    <w:p w:rsidR="000B0BAB" w:rsidRDefault="000B0BAB" w:rsidP="000254D9">
      <w:pPr>
        <w:spacing w:after="0" w:line="240" w:lineRule="auto"/>
        <w:rPr>
          <w:b/>
        </w:rPr>
      </w:pPr>
    </w:p>
    <w:p w:rsidR="002315A4" w:rsidRDefault="008831ED" w:rsidP="000254D9">
      <w:pPr>
        <w:spacing w:after="0" w:line="240" w:lineRule="auto"/>
        <w:rPr>
          <w:b/>
        </w:rPr>
      </w:pPr>
      <w:r w:rsidRPr="008831ED">
        <w:rPr>
          <w:b/>
        </w:rPr>
        <w:t xml:space="preserve">2°/ Le budget </w:t>
      </w:r>
      <w:r w:rsidR="00F80D8B">
        <w:rPr>
          <w:b/>
        </w:rPr>
        <w:t>202</w:t>
      </w:r>
      <w:r w:rsidR="00D03A45">
        <w:rPr>
          <w:b/>
        </w:rPr>
        <w:t>2</w:t>
      </w:r>
    </w:p>
    <w:p w:rsidR="002315A4" w:rsidRDefault="002315A4" w:rsidP="002315A4">
      <w:pPr>
        <w:rPr>
          <w:noProof/>
          <w:lang w:eastAsia="fr-FR"/>
        </w:rPr>
      </w:pPr>
    </w:p>
    <w:p w:rsidR="00E72027" w:rsidRDefault="00F061AE" w:rsidP="008D098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D1AB5DF" wp14:editId="25575F94">
            <wp:extent cx="5991225" cy="200977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72027" w:rsidRDefault="00E72027" w:rsidP="002315A4">
      <w:pPr>
        <w:rPr>
          <w:noProof/>
          <w:lang w:eastAsia="fr-FR"/>
        </w:rPr>
      </w:pPr>
    </w:p>
    <w:p w:rsidR="00BD5910" w:rsidRDefault="00F061AE" w:rsidP="00BD5910">
      <w:pPr>
        <w:jc w:val="center"/>
      </w:pPr>
      <w:r>
        <w:rPr>
          <w:noProof/>
          <w:lang w:eastAsia="fr-FR"/>
        </w:rPr>
        <w:drawing>
          <wp:inline distT="0" distB="0" distL="0" distR="0" wp14:anchorId="1819233F" wp14:editId="6186AAD4">
            <wp:extent cx="5838825" cy="1905000"/>
            <wp:effectExtent l="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6084" w:rsidRDefault="00F66084" w:rsidP="00BD5910">
      <w:pPr>
        <w:jc w:val="center"/>
      </w:pPr>
    </w:p>
    <w:p w:rsidR="000254D9" w:rsidRDefault="000254D9" w:rsidP="00BD5910">
      <w:pPr>
        <w:tabs>
          <w:tab w:val="left" w:pos="3090"/>
        </w:tabs>
        <w:jc w:val="center"/>
      </w:pPr>
    </w:p>
    <w:p w:rsidR="00FA369E" w:rsidRDefault="00FA369E" w:rsidP="000254D9">
      <w:pPr>
        <w:spacing w:after="0" w:line="240" w:lineRule="auto"/>
        <w:rPr>
          <w:u w:val="single"/>
        </w:rPr>
      </w:pPr>
    </w:p>
    <w:p w:rsidR="000254D9" w:rsidRDefault="00063BEB" w:rsidP="000254D9">
      <w:pPr>
        <w:spacing w:after="0" w:line="240" w:lineRule="auto"/>
        <w:rPr>
          <w:u w:val="single"/>
        </w:rPr>
      </w:pPr>
      <w:r w:rsidRPr="00063BEB">
        <w:rPr>
          <w:u w:val="single"/>
        </w:rPr>
        <w:t>Les résultats de l’exécution 20</w:t>
      </w:r>
      <w:r w:rsidR="00F80D8B">
        <w:rPr>
          <w:u w:val="single"/>
        </w:rPr>
        <w:t>2</w:t>
      </w:r>
      <w:r w:rsidR="00D03A45">
        <w:rPr>
          <w:u w:val="single"/>
        </w:rPr>
        <w:t>2</w:t>
      </w:r>
    </w:p>
    <w:p w:rsidR="00063BEB" w:rsidRDefault="00063BEB" w:rsidP="000254D9">
      <w:pPr>
        <w:spacing w:after="0" w:line="240" w:lineRule="auto"/>
        <w:rPr>
          <w:u w:val="single"/>
        </w:rPr>
      </w:pPr>
    </w:p>
    <w:p w:rsidR="00F122B4" w:rsidRDefault="00D03A45" w:rsidP="000B0BAB">
      <w:pPr>
        <w:spacing w:after="0" w:line="240" w:lineRule="auto"/>
        <w:jc w:val="center"/>
        <w:rPr>
          <w:highlight w:val="yellow"/>
        </w:rPr>
      </w:pPr>
      <w:r w:rsidRPr="00D03A45">
        <w:rPr>
          <w:noProof/>
          <w:lang w:eastAsia="fr-FR"/>
        </w:rPr>
        <w:drawing>
          <wp:inline distT="0" distB="0" distL="0" distR="0">
            <wp:extent cx="6479540" cy="11265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AB" w:rsidRDefault="000B0BAB" w:rsidP="000254D9">
      <w:pPr>
        <w:spacing w:after="0" w:line="240" w:lineRule="auto"/>
        <w:rPr>
          <w:highlight w:val="yellow"/>
        </w:rPr>
      </w:pPr>
    </w:p>
    <w:p w:rsidR="000B0BAB" w:rsidRPr="00206493" w:rsidRDefault="000B0BAB" w:rsidP="000254D9">
      <w:pPr>
        <w:spacing w:after="0" w:line="240" w:lineRule="auto"/>
        <w:rPr>
          <w:highlight w:val="yellow"/>
        </w:rPr>
      </w:pPr>
    </w:p>
    <w:p w:rsidR="005939F1" w:rsidRPr="00AA69AC" w:rsidRDefault="005939F1" w:rsidP="000254D9">
      <w:pPr>
        <w:spacing w:after="0" w:line="240" w:lineRule="auto"/>
        <w:rPr>
          <w:b/>
        </w:rPr>
      </w:pPr>
      <w:r w:rsidRPr="00AA69AC">
        <w:rPr>
          <w:b/>
        </w:rPr>
        <w:t>3°/ Les indicateurs</w:t>
      </w:r>
      <w:r w:rsidR="000017ED" w:rsidRPr="00AA69AC">
        <w:rPr>
          <w:b/>
        </w:rPr>
        <w:t xml:space="preserve"> 20</w:t>
      </w:r>
      <w:r w:rsidR="008C3066">
        <w:rPr>
          <w:b/>
        </w:rPr>
        <w:t>2</w:t>
      </w:r>
      <w:r w:rsidR="00D03A45">
        <w:rPr>
          <w:b/>
        </w:rPr>
        <w:t>2</w:t>
      </w:r>
    </w:p>
    <w:p w:rsidR="00CA0A33" w:rsidRPr="00206493" w:rsidRDefault="00CA0A33" w:rsidP="000254D9">
      <w:pPr>
        <w:spacing w:after="0" w:line="240" w:lineRule="auto"/>
        <w:rPr>
          <w:sz w:val="16"/>
          <w:szCs w:val="16"/>
          <w:highlight w:val="yellow"/>
        </w:rPr>
      </w:pPr>
    </w:p>
    <w:p w:rsidR="00F122B4" w:rsidRPr="00206493" w:rsidRDefault="00F122B4" w:rsidP="000254D9">
      <w:pPr>
        <w:spacing w:after="0" w:line="240" w:lineRule="auto"/>
        <w:rPr>
          <w:highlight w:val="yellow"/>
        </w:rPr>
      </w:pPr>
    </w:p>
    <w:tbl>
      <w:tblPr>
        <w:tblStyle w:val="Grilledutableau"/>
        <w:tblW w:w="9644" w:type="dxa"/>
        <w:jc w:val="center"/>
        <w:tblLook w:val="04A0" w:firstRow="1" w:lastRow="0" w:firstColumn="1" w:lastColumn="0" w:noHBand="0" w:noVBand="1"/>
      </w:tblPr>
      <w:tblGrid>
        <w:gridCol w:w="5070"/>
        <w:gridCol w:w="1843"/>
        <w:gridCol w:w="1666"/>
        <w:gridCol w:w="1065"/>
      </w:tblGrid>
      <w:tr w:rsidR="00AA69AC" w:rsidRPr="00206493" w:rsidTr="00D66A57">
        <w:trPr>
          <w:jc w:val="center"/>
        </w:trPr>
        <w:tc>
          <w:tcPr>
            <w:tcW w:w="5070" w:type="dxa"/>
            <w:tcBorders>
              <w:top w:val="nil"/>
              <w:left w:val="nil"/>
            </w:tcBorders>
          </w:tcPr>
          <w:p w:rsidR="00AA69AC" w:rsidRPr="00206493" w:rsidRDefault="00AA69AC" w:rsidP="000254D9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8C3066" w:rsidRPr="00AA69AC" w:rsidRDefault="000B0BAB" w:rsidP="00D03A4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03A45">
              <w:rPr>
                <w:b/>
              </w:rPr>
              <w:t>1</w:t>
            </w:r>
          </w:p>
        </w:tc>
        <w:tc>
          <w:tcPr>
            <w:tcW w:w="1666" w:type="dxa"/>
          </w:tcPr>
          <w:p w:rsidR="00AA69AC" w:rsidRPr="00206493" w:rsidRDefault="00AA69AC" w:rsidP="00D03A45">
            <w:pPr>
              <w:jc w:val="center"/>
              <w:rPr>
                <w:b/>
                <w:highlight w:val="yellow"/>
              </w:rPr>
            </w:pPr>
            <w:r w:rsidRPr="00AA69AC">
              <w:rPr>
                <w:b/>
              </w:rPr>
              <w:t>20</w:t>
            </w:r>
            <w:r w:rsidR="008C3066">
              <w:rPr>
                <w:b/>
              </w:rPr>
              <w:t>2</w:t>
            </w:r>
            <w:r w:rsidR="00D03A45">
              <w:rPr>
                <w:b/>
              </w:rPr>
              <w:t>2</w:t>
            </w:r>
          </w:p>
        </w:tc>
        <w:tc>
          <w:tcPr>
            <w:tcW w:w="1065" w:type="dxa"/>
          </w:tcPr>
          <w:p w:rsidR="00AA69AC" w:rsidRPr="00206493" w:rsidRDefault="00AA69AC" w:rsidP="00F122B4">
            <w:pPr>
              <w:jc w:val="center"/>
              <w:rPr>
                <w:b/>
                <w:highlight w:val="yellow"/>
              </w:rPr>
            </w:pPr>
            <w:r w:rsidRPr="00AA69AC">
              <w:rPr>
                <w:b/>
              </w:rPr>
              <w:t>Variation</w:t>
            </w:r>
          </w:p>
        </w:tc>
      </w:tr>
      <w:tr w:rsidR="000B0BAB" w:rsidRPr="00206493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Taux d’exécution des dépenses de fonctionnement</w:t>
            </w:r>
          </w:p>
        </w:tc>
        <w:tc>
          <w:tcPr>
            <w:tcW w:w="1843" w:type="dxa"/>
          </w:tcPr>
          <w:p w:rsidR="000B0BAB" w:rsidRPr="00660A3C" w:rsidRDefault="00D03A45" w:rsidP="000B0BAB">
            <w:pPr>
              <w:jc w:val="right"/>
            </w:pPr>
            <w:r>
              <w:t>91.11%</w:t>
            </w:r>
          </w:p>
        </w:tc>
        <w:tc>
          <w:tcPr>
            <w:tcW w:w="1666" w:type="dxa"/>
          </w:tcPr>
          <w:p w:rsidR="000B0BAB" w:rsidRPr="00B41035" w:rsidRDefault="00B41035" w:rsidP="000B0BAB">
            <w:pPr>
              <w:jc w:val="right"/>
            </w:pPr>
            <w:r w:rsidRPr="00B41035">
              <w:t>92.25</w:t>
            </w:r>
            <w:r w:rsidR="008D0986" w:rsidRPr="00B41035">
              <w:t>%</w:t>
            </w:r>
          </w:p>
        </w:tc>
        <w:tc>
          <w:tcPr>
            <w:tcW w:w="1065" w:type="dxa"/>
          </w:tcPr>
          <w:p w:rsidR="000B0BAB" w:rsidRPr="007B56BF" w:rsidRDefault="00B41035" w:rsidP="000B0BAB">
            <w:pPr>
              <w:jc w:val="center"/>
              <w:rPr>
                <w:b/>
              </w:rPr>
            </w:pPr>
            <w:r w:rsidRPr="008D0986">
              <w:rPr>
                <w:b/>
              </w:rPr>
              <w:sym w:font="Wingdings" w:char="F0E4"/>
            </w:r>
          </w:p>
        </w:tc>
      </w:tr>
      <w:tr w:rsidR="000B0BAB" w:rsidRPr="00206493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Taux d’exécution des dépenses d’investissement</w:t>
            </w:r>
          </w:p>
        </w:tc>
        <w:tc>
          <w:tcPr>
            <w:tcW w:w="1843" w:type="dxa"/>
          </w:tcPr>
          <w:p w:rsidR="000B0BAB" w:rsidRPr="00660A3C" w:rsidRDefault="00D03A45" w:rsidP="000B0BAB">
            <w:pPr>
              <w:jc w:val="right"/>
            </w:pPr>
            <w:r>
              <w:t>90.01%</w:t>
            </w:r>
          </w:p>
        </w:tc>
        <w:tc>
          <w:tcPr>
            <w:tcW w:w="1666" w:type="dxa"/>
          </w:tcPr>
          <w:p w:rsidR="000B0BAB" w:rsidRPr="00B41035" w:rsidRDefault="00B41035" w:rsidP="000B0BAB">
            <w:pPr>
              <w:jc w:val="right"/>
            </w:pPr>
            <w:r w:rsidRPr="00B41035">
              <w:t>85.00</w:t>
            </w:r>
            <w:r w:rsidR="008D0986" w:rsidRPr="00B41035">
              <w:t>%</w:t>
            </w:r>
          </w:p>
        </w:tc>
        <w:tc>
          <w:tcPr>
            <w:tcW w:w="1065" w:type="dxa"/>
          </w:tcPr>
          <w:p w:rsidR="000B0BAB" w:rsidRPr="007B56BF" w:rsidRDefault="00B41035" w:rsidP="000B0BAB">
            <w:pPr>
              <w:jc w:val="center"/>
              <w:rPr>
                <w:b/>
                <w:color w:val="00CC00"/>
              </w:rPr>
            </w:pPr>
            <w:r w:rsidRPr="008D0986">
              <w:rPr>
                <w:b/>
              </w:rPr>
              <w:sym w:font="Wingdings" w:char="F0E6"/>
            </w:r>
          </w:p>
        </w:tc>
      </w:tr>
      <w:tr w:rsidR="000B0BAB" w:rsidRPr="00206493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Epargne brute</w:t>
            </w:r>
          </w:p>
        </w:tc>
        <w:tc>
          <w:tcPr>
            <w:tcW w:w="1843" w:type="dxa"/>
          </w:tcPr>
          <w:p w:rsidR="000B0BAB" w:rsidRPr="00F66084" w:rsidRDefault="00D03A45" w:rsidP="000B0BAB">
            <w:pPr>
              <w:jc w:val="right"/>
              <w:rPr>
                <w:highlight w:val="yellow"/>
              </w:rPr>
            </w:pPr>
            <w:r>
              <w:t>5.73 M€</w:t>
            </w:r>
          </w:p>
        </w:tc>
        <w:tc>
          <w:tcPr>
            <w:tcW w:w="1666" w:type="dxa"/>
          </w:tcPr>
          <w:p w:rsidR="000B0BAB" w:rsidRPr="003173F1" w:rsidRDefault="00B41035" w:rsidP="005B4B48">
            <w:pPr>
              <w:jc w:val="right"/>
              <w:rPr>
                <w:highlight w:val="yellow"/>
              </w:rPr>
            </w:pPr>
            <w:r w:rsidRPr="00B41035">
              <w:t>4.</w:t>
            </w:r>
            <w:r w:rsidR="005B4B48">
              <w:t>33</w:t>
            </w:r>
            <w:r w:rsidR="008D0986" w:rsidRPr="00B41035">
              <w:t xml:space="preserve"> M€</w:t>
            </w:r>
          </w:p>
        </w:tc>
        <w:tc>
          <w:tcPr>
            <w:tcW w:w="1065" w:type="dxa"/>
          </w:tcPr>
          <w:p w:rsidR="000B0BAB" w:rsidRPr="007B56BF" w:rsidRDefault="00B41035" w:rsidP="000B0BAB">
            <w:pPr>
              <w:jc w:val="center"/>
              <w:rPr>
                <w:b/>
                <w:color w:val="34EC53"/>
              </w:rPr>
            </w:pPr>
            <w:r w:rsidRPr="008D0986">
              <w:rPr>
                <w:b/>
              </w:rPr>
              <w:sym w:font="Wingdings" w:char="F0E6"/>
            </w:r>
          </w:p>
        </w:tc>
      </w:tr>
      <w:tr w:rsidR="000B0BAB" w:rsidRPr="00206493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Epargne nette</w:t>
            </w:r>
          </w:p>
        </w:tc>
        <w:tc>
          <w:tcPr>
            <w:tcW w:w="1843" w:type="dxa"/>
          </w:tcPr>
          <w:p w:rsidR="000B0BAB" w:rsidRPr="00736D0F" w:rsidRDefault="00D03A45" w:rsidP="000B0BAB">
            <w:pPr>
              <w:jc w:val="right"/>
            </w:pPr>
            <w:r>
              <w:t>3.82 M€</w:t>
            </w:r>
          </w:p>
        </w:tc>
        <w:tc>
          <w:tcPr>
            <w:tcW w:w="1666" w:type="dxa"/>
          </w:tcPr>
          <w:p w:rsidR="000B0BAB" w:rsidRPr="003173F1" w:rsidRDefault="00B41035" w:rsidP="000B0BAB">
            <w:pPr>
              <w:jc w:val="right"/>
              <w:rPr>
                <w:highlight w:val="yellow"/>
              </w:rPr>
            </w:pPr>
            <w:r w:rsidRPr="00B41035">
              <w:t>2.54</w:t>
            </w:r>
            <w:r w:rsidR="008D0986" w:rsidRPr="00B41035">
              <w:t xml:space="preserve"> M€</w:t>
            </w:r>
          </w:p>
        </w:tc>
        <w:tc>
          <w:tcPr>
            <w:tcW w:w="1065" w:type="dxa"/>
          </w:tcPr>
          <w:p w:rsidR="000B0BAB" w:rsidRPr="007B56BF" w:rsidRDefault="00B41035" w:rsidP="000B0BAB">
            <w:pPr>
              <w:jc w:val="center"/>
              <w:rPr>
                <w:b/>
                <w:color w:val="00CC00"/>
                <w:highlight w:val="yellow"/>
              </w:rPr>
            </w:pPr>
            <w:r w:rsidRPr="008D0986">
              <w:rPr>
                <w:b/>
              </w:rPr>
              <w:sym w:font="Wingdings" w:char="F0E6"/>
            </w:r>
          </w:p>
        </w:tc>
      </w:tr>
      <w:tr w:rsidR="000B0BAB" w:rsidRPr="00206493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Taux épargne</w:t>
            </w:r>
            <w:r>
              <w:t xml:space="preserve"> nette</w:t>
            </w:r>
          </w:p>
        </w:tc>
        <w:tc>
          <w:tcPr>
            <w:tcW w:w="1843" w:type="dxa"/>
          </w:tcPr>
          <w:p w:rsidR="000B0BAB" w:rsidRPr="00736D0F" w:rsidRDefault="00D03A45" w:rsidP="000B0BAB">
            <w:pPr>
              <w:jc w:val="right"/>
            </w:pPr>
            <w:r>
              <w:t>7.49%</w:t>
            </w:r>
          </w:p>
        </w:tc>
        <w:tc>
          <w:tcPr>
            <w:tcW w:w="1666" w:type="dxa"/>
          </w:tcPr>
          <w:p w:rsidR="000B0BAB" w:rsidRPr="003173F1" w:rsidRDefault="005B4B48" w:rsidP="000B0BAB">
            <w:pPr>
              <w:jc w:val="right"/>
              <w:rPr>
                <w:highlight w:val="yellow"/>
              </w:rPr>
            </w:pPr>
            <w:r w:rsidRPr="005B4B48">
              <w:t>4.92</w:t>
            </w:r>
            <w:r w:rsidR="001A580F" w:rsidRPr="005B4B48">
              <w:t>%</w:t>
            </w:r>
          </w:p>
        </w:tc>
        <w:tc>
          <w:tcPr>
            <w:tcW w:w="1065" w:type="dxa"/>
          </w:tcPr>
          <w:p w:rsidR="000B0BAB" w:rsidRPr="007B56BF" w:rsidRDefault="005B4B48" w:rsidP="000B0BAB">
            <w:pPr>
              <w:jc w:val="center"/>
              <w:rPr>
                <w:b/>
                <w:color w:val="00CC00"/>
              </w:rPr>
            </w:pPr>
            <w:r w:rsidRPr="008D0986">
              <w:rPr>
                <w:b/>
              </w:rPr>
              <w:sym w:font="Wingdings" w:char="F0E6"/>
            </w:r>
          </w:p>
        </w:tc>
      </w:tr>
      <w:tr w:rsidR="000B0BAB" w:rsidRPr="00206493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Encours de dette incluant PPP au 31/12/N</w:t>
            </w:r>
          </w:p>
        </w:tc>
        <w:tc>
          <w:tcPr>
            <w:tcW w:w="1843" w:type="dxa"/>
          </w:tcPr>
          <w:p w:rsidR="000B0BAB" w:rsidRPr="00F66084" w:rsidRDefault="00D03A45" w:rsidP="000B0BAB">
            <w:pPr>
              <w:jc w:val="right"/>
              <w:rPr>
                <w:highlight w:val="yellow"/>
              </w:rPr>
            </w:pPr>
            <w:r>
              <w:t>27.41</w:t>
            </w:r>
            <w:r w:rsidR="000B0BAB" w:rsidRPr="00061A7A">
              <w:t xml:space="preserve"> M€</w:t>
            </w:r>
          </w:p>
        </w:tc>
        <w:tc>
          <w:tcPr>
            <w:tcW w:w="1666" w:type="dxa"/>
          </w:tcPr>
          <w:p w:rsidR="000B0BAB" w:rsidRPr="003173F1" w:rsidRDefault="005B4B48" w:rsidP="000B0BAB">
            <w:pPr>
              <w:jc w:val="right"/>
              <w:rPr>
                <w:highlight w:val="yellow"/>
              </w:rPr>
            </w:pPr>
            <w:r w:rsidRPr="005B4B48">
              <w:t>25.64</w:t>
            </w:r>
            <w:r w:rsidR="001A580F" w:rsidRPr="005B4B48">
              <w:t xml:space="preserve"> M€</w:t>
            </w:r>
          </w:p>
        </w:tc>
        <w:tc>
          <w:tcPr>
            <w:tcW w:w="1065" w:type="dxa"/>
          </w:tcPr>
          <w:p w:rsidR="000B0BAB" w:rsidRPr="007B56BF" w:rsidRDefault="000B0BAB" w:rsidP="000B0BAB">
            <w:pPr>
              <w:jc w:val="center"/>
              <w:rPr>
                <w:b/>
                <w:color w:val="00CC00"/>
              </w:rPr>
            </w:pPr>
            <w:r w:rsidRPr="008D0986">
              <w:rPr>
                <w:b/>
              </w:rPr>
              <w:sym w:font="Wingdings" w:char="F0E6"/>
            </w:r>
          </w:p>
        </w:tc>
      </w:tr>
      <w:tr w:rsidR="000B0BAB" w:rsidTr="00D66A57">
        <w:trPr>
          <w:jc w:val="center"/>
        </w:trPr>
        <w:tc>
          <w:tcPr>
            <w:tcW w:w="5070" w:type="dxa"/>
          </w:tcPr>
          <w:p w:rsidR="000B0BAB" w:rsidRPr="00AA69AC" w:rsidRDefault="000B0BAB" w:rsidP="000B0BAB">
            <w:r w:rsidRPr="00AA69AC">
              <w:t>Capacité désendettement au 31/12/N</w:t>
            </w:r>
          </w:p>
        </w:tc>
        <w:tc>
          <w:tcPr>
            <w:tcW w:w="1843" w:type="dxa"/>
          </w:tcPr>
          <w:p w:rsidR="000B0BAB" w:rsidRPr="00F66084" w:rsidRDefault="00D03A45" w:rsidP="00D03A45">
            <w:pPr>
              <w:jc w:val="right"/>
              <w:rPr>
                <w:highlight w:val="yellow"/>
              </w:rPr>
            </w:pPr>
            <w:r>
              <w:t>4</w:t>
            </w:r>
            <w:r w:rsidR="000B0BAB" w:rsidRPr="00B76943">
              <w:t xml:space="preserve"> ans </w:t>
            </w:r>
            <w:r>
              <w:t>10</w:t>
            </w:r>
            <w:r w:rsidR="000B0BAB" w:rsidRPr="00B76943">
              <w:t xml:space="preserve"> mois</w:t>
            </w:r>
          </w:p>
        </w:tc>
        <w:tc>
          <w:tcPr>
            <w:tcW w:w="1666" w:type="dxa"/>
          </w:tcPr>
          <w:p w:rsidR="000B0BAB" w:rsidRPr="003173F1" w:rsidRDefault="005B4B48" w:rsidP="005B4B48">
            <w:pPr>
              <w:jc w:val="right"/>
              <w:rPr>
                <w:highlight w:val="yellow"/>
              </w:rPr>
            </w:pPr>
            <w:r w:rsidRPr="005B4B48">
              <w:t>5</w:t>
            </w:r>
            <w:r w:rsidR="001A580F" w:rsidRPr="005B4B48">
              <w:t xml:space="preserve"> ans</w:t>
            </w:r>
            <w:r w:rsidR="006B577D" w:rsidRPr="005B4B48">
              <w:t xml:space="preserve"> 1</w:t>
            </w:r>
            <w:r w:rsidRPr="005B4B48">
              <w:t>1</w:t>
            </w:r>
            <w:r w:rsidR="006B577D" w:rsidRPr="005B4B48">
              <w:t xml:space="preserve"> mois</w:t>
            </w:r>
            <w:r w:rsidR="001A580F" w:rsidRPr="005B4B48">
              <w:t xml:space="preserve"> </w:t>
            </w:r>
          </w:p>
        </w:tc>
        <w:tc>
          <w:tcPr>
            <w:tcW w:w="1065" w:type="dxa"/>
          </w:tcPr>
          <w:p w:rsidR="000B0BAB" w:rsidRPr="006B577D" w:rsidRDefault="005B4B48" w:rsidP="000B0BAB">
            <w:pPr>
              <w:jc w:val="center"/>
              <w:rPr>
                <w:b/>
                <w:color w:val="00CC00"/>
              </w:rPr>
            </w:pPr>
            <w:r w:rsidRPr="008D0986">
              <w:rPr>
                <w:b/>
              </w:rPr>
              <w:sym w:font="Wingdings" w:char="F0E4"/>
            </w:r>
          </w:p>
        </w:tc>
      </w:tr>
    </w:tbl>
    <w:p w:rsidR="000017ED" w:rsidRPr="005939F1" w:rsidRDefault="000017ED" w:rsidP="000254D9">
      <w:pPr>
        <w:spacing w:after="0" w:line="240" w:lineRule="auto"/>
      </w:pPr>
    </w:p>
    <w:sectPr w:rsidR="000017ED" w:rsidRPr="005939F1" w:rsidSect="00FA36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B2"/>
    <w:multiLevelType w:val="hybridMultilevel"/>
    <w:tmpl w:val="0F94F9F4"/>
    <w:lvl w:ilvl="0" w:tplc="5ED2FE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441"/>
    <w:multiLevelType w:val="hybridMultilevel"/>
    <w:tmpl w:val="059C82FE"/>
    <w:lvl w:ilvl="0" w:tplc="3F74D766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79"/>
    <w:multiLevelType w:val="hybridMultilevel"/>
    <w:tmpl w:val="DD905E8C"/>
    <w:lvl w:ilvl="0" w:tplc="89727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479"/>
    <w:multiLevelType w:val="hybridMultilevel"/>
    <w:tmpl w:val="E3F4A40C"/>
    <w:lvl w:ilvl="0" w:tplc="90EAED44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A13ECF"/>
    <w:multiLevelType w:val="hybridMultilevel"/>
    <w:tmpl w:val="23D02FF4"/>
    <w:lvl w:ilvl="0" w:tplc="1AD25B6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D14BEA"/>
    <w:multiLevelType w:val="hybridMultilevel"/>
    <w:tmpl w:val="05BA04E4"/>
    <w:lvl w:ilvl="0" w:tplc="972E398C">
      <w:start w:val="6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307C9"/>
    <w:multiLevelType w:val="hybridMultilevel"/>
    <w:tmpl w:val="04D22790"/>
    <w:lvl w:ilvl="0" w:tplc="DC809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A2E7C"/>
    <w:multiLevelType w:val="hybridMultilevel"/>
    <w:tmpl w:val="DE142A06"/>
    <w:lvl w:ilvl="0" w:tplc="04242D30">
      <w:start w:val="6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59"/>
    <w:rsid w:val="000017ED"/>
    <w:rsid w:val="000254D9"/>
    <w:rsid w:val="00061A7A"/>
    <w:rsid w:val="00063BEB"/>
    <w:rsid w:val="000A2853"/>
    <w:rsid w:val="000B0BAB"/>
    <w:rsid w:val="000B6FAC"/>
    <w:rsid w:val="000F5B85"/>
    <w:rsid w:val="00110310"/>
    <w:rsid w:val="001576FE"/>
    <w:rsid w:val="00190225"/>
    <w:rsid w:val="001A580F"/>
    <w:rsid w:val="001A5FA6"/>
    <w:rsid w:val="00206493"/>
    <w:rsid w:val="002315A4"/>
    <w:rsid w:val="00252194"/>
    <w:rsid w:val="00263B53"/>
    <w:rsid w:val="00291070"/>
    <w:rsid w:val="00291EFA"/>
    <w:rsid w:val="002C2276"/>
    <w:rsid w:val="002F2F7B"/>
    <w:rsid w:val="002F4576"/>
    <w:rsid w:val="003104C3"/>
    <w:rsid w:val="003173F1"/>
    <w:rsid w:val="00323164"/>
    <w:rsid w:val="003552C4"/>
    <w:rsid w:val="003927E7"/>
    <w:rsid w:val="003A068B"/>
    <w:rsid w:val="003A2FE4"/>
    <w:rsid w:val="0042398D"/>
    <w:rsid w:val="004456A4"/>
    <w:rsid w:val="00471152"/>
    <w:rsid w:val="004C3738"/>
    <w:rsid w:val="004F6D11"/>
    <w:rsid w:val="00505D4E"/>
    <w:rsid w:val="00540214"/>
    <w:rsid w:val="00551D9E"/>
    <w:rsid w:val="0059396B"/>
    <w:rsid w:val="005939F1"/>
    <w:rsid w:val="005A1954"/>
    <w:rsid w:val="005B4B48"/>
    <w:rsid w:val="00660A3C"/>
    <w:rsid w:val="0067399F"/>
    <w:rsid w:val="006B577D"/>
    <w:rsid w:val="006C2E49"/>
    <w:rsid w:val="007173C4"/>
    <w:rsid w:val="00732859"/>
    <w:rsid w:val="00736D0F"/>
    <w:rsid w:val="00740BBA"/>
    <w:rsid w:val="00752FAF"/>
    <w:rsid w:val="007B56BF"/>
    <w:rsid w:val="007C459A"/>
    <w:rsid w:val="007D7B20"/>
    <w:rsid w:val="007F60DF"/>
    <w:rsid w:val="008831ED"/>
    <w:rsid w:val="008873AD"/>
    <w:rsid w:val="00896A64"/>
    <w:rsid w:val="008A04CB"/>
    <w:rsid w:val="008A54F8"/>
    <w:rsid w:val="008C3066"/>
    <w:rsid w:val="008C5FD6"/>
    <w:rsid w:val="008D0986"/>
    <w:rsid w:val="00940EB4"/>
    <w:rsid w:val="00A2344F"/>
    <w:rsid w:val="00A91BB2"/>
    <w:rsid w:val="00AA69AC"/>
    <w:rsid w:val="00AD2C6E"/>
    <w:rsid w:val="00B144D4"/>
    <w:rsid w:val="00B41035"/>
    <w:rsid w:val="00B44B4B"/>
    <w:rsid w:val="00B62F44"/>
    <w:rsid w:val="00B76943"/>
    <w:rsid w:val="00BA4328"/>
    <w:rsid w:val="00BD5910"/>
    <w:rsid w:val="00BD70E7"/>
    <w:rsid w:val="00BE4A79"/>
    <w:rsid w:val="00C079FC"/>
    <w:rsid w:val="00C12E16"/>
    <w:rsid w:val="00C5647D"/>
    <w:rsid w:val="00CA0A33"/>
    <w:rsid w:val="00CC4C67"/>
    <w:rsid w:val="00D03A45"/>
    <w:rsid w:val="00D12B16"/>
    <w:rsid w:val="00D130C4"/>
    <w:rsid w:val="00D30634"/>
    <w:rsid w:val="00D55693"/>
    <w:rsid w:val="00D66A57"/>
    <w:rsid w:val="00D75113"/>
    <w:rsid w:val="00D838F9"/>
    <w:rsid w:val="00DC4974"/>
    <w:rsid w:val="00DD6004"/>
    <w:rsid w:val="00E54098"/>
    <w:rsid w:val="00E62079"/>
    <w:rsid w:val="00E72027"/>
    <w:rsid w:val="00EA19E9"/>
    <w:rsid w:val="00ED0367"/>
    <w:rsid w:val="00F061AE"/>
    <w:rsid w:val="00F122B4"/>
    <w:rsid w:val="00F3513A"/>
    <w:rsid w:val="00F55605"/>
    <w:rsid w:val="00F62DE1"/>
    <w:rsid w:val="00F66084"/>
    <w:rsid w:val="00F80D8B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2AC2-CA4B-472D-A0C6-75ED69C2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12E16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12E16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2E16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C12E16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C12E16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C1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4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30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6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6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A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fr-FR" sz="1600">
                <a:latin typeface="Century Gothic" panose="020B0502020202020204" pitchFamily="34" charset="0"/>
              </a:rPr>
              <a:t>Dépenses 2022 :</a:t>
            </a:r>
          </a:p>
          <a:p>
            <a:pPr>
              <a:defRPr sz="1600"/>
            </a:pPr>
            <a:r>
              <a:rPr lang="fr-FR" sz="1600">
                <a:latin typeface="Century Gothic" panose="020B0502020202020204" pitchFamily="34" charset="0"/>
              </a:rPr>
              <a:t>67 811 864,90 </a:t>
            </a:r>
            <a:r>
              <a:rPr lang="fr-FR" sz="1600" baseline="0">
                <a:latin typeface="Century Gothic" panose="020B0502020202020204" pitchFamily="34" charset="0"/>
              </a:rPr>
              <a:t>€</a:t>
            </a:r>
            <a:endParaRPr lang="fr-FR" sz="1600"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60844445006171977"/>
          <c:y val="5.55555555555555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725556960387898"/>
          <c:y val="9.6896418753343053E-2"/>
          <c:w val="0.28945916736560551"/>
          <c:h val="0.86289012451642599"/>
        </c:manualLayout>
      </c:layout>
      <c:doughnutChart>
        <c:varyColors val="1"/>
        <c:ser>
          <c:idx val="0"/>
          <c:order val="0"/>
          <c:tx>
            <c:v>Dépenses 2022</c:v>
          </c:tx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31E-4297-8A05-E12D03603B3C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E31E-4297-8A05-E12D03603B3C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E31E-4297-8A05-E12D03603B3C}"/>
              </c:ext>
            </c:extLst>
          </c:dPt>
          <c:dPt>
            <c:idx val="3"/>
            <c:bubble3D val="0"/>
            <c:spPr>
              <a:solidFill>
                <a:srgbClr val="9900FF"/>
              </a:solidFill>
            </c:spPr>
            <c:extLst>
              <c:ext xmlns:c16="http://schemas.microsoft.com/office/drawing/2014/chart" uri="{C3380CC4-5D6E-409C-BE32-E72D297353CC}">
                <c16:uniqueId val="{00000007-E31E-4297-8A05-E12D03603B3C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E31E-4297-8A05-E12D03603B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B-E31E-4297-8A05-E12D03603B3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C-E31E-4297-8A05-E12D03603B3C}"/>
              </c:ext>
            </c:extLst>
          </c:dPt>
          <c:dLbls>
            <c:dLbl>
              <c:idx val="0"/>
              <c:layout>
                <c:manualLayout>
                  <c:x val="2.9427501337613696E-2"/>
                  <c:y val="-8.489722966934765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1E-4297-8A05-E12D03603B3C}"/>
                </c:ext>
              </c:extLst>
            </c:dLbl>
            <c:dLbl>
              <c:idx val="2"/>
              <c:layout>
                <c:manualLayout>
                  <c:x val="-3.7453183520599266E-2"/>
                  <c:y val="-3.1277926720285967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31E-4297-8A05-E12D03603B3C}"/>
                </c:ext>
              </c:extLst>
            </c:dLbl>
            <c:dLbl>
              <c:idx val="3"/>
              <c:layout>
                <c:manualLayout>
                  <c:x val="-5.6735308722339756E-2"/>
                  <c:y val="-0.1514721797216106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31E-4297-8A05-E12D03603B3C}"/>
                </c:ext>
              </c:extLst>
            </c:dLbl>
            <c:dLbl>
              <c:idx val="4"/>
              <c:layout>
                <c:manualLayout>
                  <c:x val="-3.7453108504521194E-2"/>
                  <c:y val="-0.1875364157679342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31E-4297-8A05-E12D03603B3C}"/>
                </c:ext>
              </c:extLst>
            </c:dLbl>
            <c:dLbl>
              <c:idx val="5"/>
              <c:layout>
                <c:manualLayout>
                  <c:x val="-1.0700909577314071E-2"/>
                  <c:y val="-0.1251117068811438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31E-4297-8A05-E12D03603B3C}"/>
                </c:ext>
              </c:extLst>
            </c:dLbl>
            <c:dLbl>
              <c:idx val="6"/>
              <c:layout>
                <c:manualLayout>
                  <c:x val="8.0256821829855531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31E-4297-8A05-E12D03603B3C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'[1]Graphs DR'!$F$2:$F$8</c:f>
              <c:strCache>
                <c:ptCount val="7"/>
                <c:pt idx="0">
                  <c:v>Charges générales</c:v>
                </c:pt>
                <c:pt idx="1">
                  <c:v>Charges de personnel</c:v>
                </c:pt>
                <c:pt idx="2">
                  <c:v>Amortissements</c:v>
                </c:pt>
                <c:pt idx="3">
                  <c:v>Programmes batimentaires</c:v>
                </c:pt>
                <c:pt idx="4">
                  <c:v>Matériels</c:v>
                </c:pt>
                <c:pt idx="5">
                  <c:v>Dette</c:v>
                </c:pt>
                <c:pt idx="6">
                  <c:v>Autres</c:v>
                </c:pt>
              </c:strCache>
            </c:strRef>
          </c:cat>
          <c:val>
            <c:numRef>
              <c:f>Feuil1!$C$2:$C$8</c:f>
              <c:numCache>
                <c:formatCode>"€"#,##0.00_);[Red]\("€"#,##0.00\)</c:formatCode>
                <c:ptCount val="7"/>
                <c:pt idx="0">
                  <c:v>9408581.3399999999</c:v>
                </c:pt>
                <c:pt idx="1">
                  <c:v>36767596.119999997</c:v>
                </c:pt>
                <c:pt idx="2">
                  <c:v>12259511.780000001</c:v>
                </c:pt>
                <c:pt idx="3">
                  <c:v>1934679.95</c:v>
                </c:pt>
                <c:pt idx="4">
                  <c:v>4252714.6399999997</c:v>
                </c:pt>
                <c:pt idx="5">
                  <c:v>2597943.33</c:v>
                </c:pt>
                <c:pt idx="6">
                  <c:v>590837.74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31E-4297-8A05-E12D03603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1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477398194859988"/>
          <c:y val="0.3576758592379744"/>
          <c:w val="0.33195169639598682"/>
          <c:h val="0.55955815949546595"/>
        </c:manualLayout>
      </c:layout>
      <c:overlay val="0"/>
      <c:txPr>
        <a:bodyPr/>
        <a:lstStyle/>
        <a:p>
          <a:pPr>
            <a:defRPr sz="800">
              <a:latin typeface="Century Gothic" panose="020B0502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Century Gothic" panose="020B0502020202020204" pitchFamily="34" charset="0"/>
              </a:defRPr>
            </a:pPr>
            <a:r>
              <a:rPr lang="fr-FR" sz="1600">
                <a:latin typeface="Century Gothic" panose="020B0502020202020204" pitchFamily="34" charset="0"/>
              </a:rPr>
              <a:t>Recettes 2022 : </a:t>
            </a:r>
          </a:p>
          <a:p>
            <a:pPr>
              <a:defRPr sz="1600">
                <a:latin typeface="Century Gothic" panose="020B0502020202020204" pitchFamily="34" charset="0"/>
              </a:defRPr>
            </a:pPr>
            <a:r>
              <a:rPr lang="fr-FR" sz="1600" baseline="0">
                <a:latin typeface="Century Gothic" panose="020B0502020202020204" pitchFamily="34" charset="0"/>
              </a:rPr>
              <a:t>69 465 753,52 €</a:t>
            </a:r>
            <a:endParaRPr lang="fr-FR" sz="1600"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62245147727320604"/>
          <c:y val="6.94444444444444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478865703584802E-2"/>
          <c:y val="3.1362007168458779E-2"/>
          <c:w val="0.55410089188289657"/>
          <c:h val="0.92797004205119504"/>
        </c:manualLayout>
      </c:layout>
      <c:doughnutChart>
        <c:varyColors val="1"/>
        <c:ser>
          <c:idx val="0"/>
          <c:order val="0"/>
          <c:tx>
            <c:v>Recettes 2022</c:v>
          </c:tx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51F3-414F-89AD-5DF19FEA071A}"/>
              </c:ext>
            </c:extLst>
          </c:dPt>
          <c:dPt>
            <c:idx val="1"/>
            <c:bubble3D val="0"/>
            <c:spPr>
              <a:solidFill>
                <a:srgbClr val="CC0000"/>
              </a:solidFill>
            </c:spPr>
            <c:extLst>
              <c:ext xmlns:c16="http://schemas.microsoft.com/office/drawing/2014/chart" uri="{C3380CC4-5D6E-409C-BE32-E72D297353CC}">
                <c16:uniqueId val="{00000003-51F3-414F-89AD-5DF19FEA071A}"/>
              </c:ext>
            </c:extLst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1F3-414F-89AD-5DF19FEA071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51F3-414F-89AD-5DF19FEA071A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51F3-414F-89AD-5DF19FEA071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51F3-414F-89AD-5DF19FEA071A}"/>
              </c:ext>
            </c:extLst>
          </c:dPt>
          <c:dLbls>
            <c:dLbl>
              <c:idx val="2"/>
              <c:layout>
                <c:manualLayout>
                  <c:x val="-4.0128439059940041E-2"/>
                  <c:y val="-4.6457607433218039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1F3-414F-89AD-5DF19FEA071A}"/>
                </c:ext>
              </c:extLst>
            </c:dLbl>
            <c:dLbl>
              <c:idx val="3"/>
              <c:layout>
                <c:manualLayout>
                  <c:x val="-8.9620117710005345E-2"/>
                  <c:y val="-2.2401433691756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1F3-414F-89AD-5DF19FEA071A}"/>
                </c:ext>
              </c:extLst>
            </c:dLbl>
            <c:dLbl>
              <c:idx val="4"/>
              <c:layout>
                <c:manualLayout>
                  <c:x val="-1.8276438674740381E-2"/>
                  <c:y val="-8.9605734767025068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57330725099862"/>
                      <c:h val="7.06389750061730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51F3-414F-89AD-5DF19FEA071A}"/>
                </c:ext>
              </c:extLst>
            </c:dLbl>
            <c:dLbl>
              <c:idx val="5"/>
              <c:layout>
                <c:manualLayout>
                  <c:x val="-2.6752273943285668E-3"/>
                  <c:y val="-0.10752688172043011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1F3-414F-89AD-5DF19FEA071A}"/>
                </c:ext>
              </c:extLst>
            </c:dLbl>
            <c:dLbl>
              <c:idx val="6"/>
              <c:layout>
                <c:manualLayout>
                  <c:x val="-8.0256821829855531E-3"/>
                  <c:y val="-0.1344086021505376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fr-F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F3-414F-89AD-5DF19FEA071A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Feuil1!$A$14:$A$19</c:f>
              <c:strCache>
                <c:ptCount val="6"/>
                <c:pt idx="0">
                  <c:v>Contributions Communes/EPCI</c:v>
                </c:pt>
                <c:pt idx="1">
                  <c:v>Subventions Département</c:v>
                </c:pt>
                <c:pt idx="2">
                  <c:v>Etat</c:v>
                </c:pt>
                <c:pt idx="3">
                  <c:v>Produits du service</c:v>
                </c:pt>
                <c:pt idx="4">
                  <c:v>Amortissements</c:v>
                </c:pt>
                <c:pt idx="5">
                  <c:v>Autres</c:v>
                </c:pt>
              </c:strCache>
            </c:strRef>
          </c:cat>
          <c:val>
            <c:numRef>
              <c:f>Feuil1!$C$14:$C$19</c:f>
              <c:numCache>
                <c:formatCode>"€"#,##0.00_);[Red]\("€"#,##0.00\)</c:formatCode>
                <c:ptCount val="6"/>
                <c:pt idx="0">
                  <c:v>27010644</c:v>
                </c:pt>
                <c:pt idx="1">
                  <c:v>24833364</c:v>
                </c:pt>
                <c:pt idx="2">
                  <c:v>1270728.99</c:v>
                </c:pt>
                <c:pt idx="3">
                  <c:v>1399937.12</c:v>
                </c:pt>
                <c:pt idx="4">
                  <c:v>12259511.780000001</c:v>
                </c:pt>
                <c:pt idx="5">
                  <c:v>2691567.63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1F3-414F-89AD-5DF19FEA0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1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804369886064411"/>
          <c:y val="0.41192703412073489"/>
          <c:w val="0.39875958497882691"/>
          <c:h val="0.50540209973753281"/>
        </c:manualLayout>
      </c:layout>
      <c:overlay val="0"/>
      <c:txPr>
        <a:bodyPr/>
        <a:lstStyle/>
        <a:p>
          <a:pPr>
            <a:defRPr sz="800">
              <a:latin typeface="Century Gothic" panose="020B0502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BIDAULT Sophie</dc:creator>
  <cp:lastModifiedBy>BIDAULT Sophie</cp:lastModifiedBy>
  <cp:revision>6</cp:revision>
  <dcterms:created xsi:type="dcterms:W3CDTF">2023-02-23T14:43:00Z</dcterms:created>
  <dcterms:modified xsi:type="dcterms:W3CDTF">2023-03-09T13:14:00Z</dcterms:modified>
</cp:coreProperties>
</file>